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Style w:val="5"/>
        <w:tblW w:w="9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31"/>
        <w:gridCol w:w="2400"/>
        <w:gridCol w:w="2775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国械注准20203400940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新型冠状病毒(2019-nCoV）抗原检测试剂盒（胶体金法）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国械注准20223400360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新型冠状病毒（2019-nCoV）抗原检测试剂盒(胶体金法)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国械注准20223400365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国械注准20223400378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国械注准20223400379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国械注准20223400380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新型冠状病毒（2019-nCoV）抗原检测试剂盒（胶体金法）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国械注准20223401614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4221BE"/>
    <w:rsid w:val="004221BE"/>
    <w:rsid w:val="00973233"/>
    <w:rsid w:val="00A72501"/>
    <w:rsid w:val="298B03C9"/>
    <w:rsid w:val="58653DE2"/>
    <w:rsid w:val="6B7B49E9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1673</Words>
  <Characters>2406</Characters>
  <Lines>18</Lines>
  <Paragraphs>5</Paragraphs>
  <TotalTime>0</TotalTime>
  <ScaleCrop>false</ScaleCrop>
  <LinksUpToDate>false</LinksUpToDate>
  <CharactersWithSpaces>2406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2022-12-09T14:19:00Z</dcterms:created>
  <dc:creator>Mac</dc:creator>
  <cp:lastModifiedBy>上官元清</cp:lastModifiedBy>
  <cp:lastPrinted>2022-03-18T01:51:00Z</cp:lastPrinted>
  <dcterms:modified xsi:type="dcterms:W3CDTF">2022-12-15T04:40:31Z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F385731C2FD04417ADA389ABA03409ED</vt:lpwstr>
  </property>
</Properties>
</file>